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DA" w:rsidRPr="00EB6EE0" w:rsidRDefault="00EB6EE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6EE0">
        <w:rPr>
          <w:rFonts w:ascii="Times New Roman" w:hAnsi="Times New Roman" w:cs="Times New Roman"/>
          <w:b/>
          <w:sz w:val="20"/>
          <w:szCs w:val="20"/>
        </w:rPr>
        <w:t>eTwinning</w:t>
      </w:r>
      <w:proofErr w:type="spellEnd"/>
    </w:p>
    <w:p w:rsidR="00EB6EE0" w:rsidRPr="00EB6EE0" w:rsidRDefault="00EB6EE0" w:rsidP="00EB6E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</w:pPr>
      <w:proofErr w:type="spellStart"/>
      <w:r w:rsidRPr="00EB6EE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  <w:t>eTwinning</w:t>
      </w:r>
      <w:proofErr w:type="spellEnd"/>
      <w:r w:rsidRPr="00EB6EE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tr-TR"/>
        </w:rPr>
        <w:t>,  Avrupa’daki okullar için oluşturulmuş bir topluluktur.</w:t>
      </w:r>
    </w:p>
    <w:p w:rsidR="00EB6EE0" w:rsidRPr="00EB6EE0" w:rsidRDefault="00EB6EE0" w:rsidP="00EB6EE0">
      <w:pPr>
        <w:pStyle w:val="Balk2"/>
        <w:ind w:firstLine="70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EB6EE0">
        <w:rPr>
          <w:rFonts w:ascii="Times New Roman" w:hAnsi="Times New Roman" w:cs="Times New Roman"/>
          <w:b w:val="0"/>
          <w:color w:val="auto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b w:val="0"/>
          <w:color w:val="auto"/>
          <w:sz w:val="20"/>
          <w:szCs w:val="20"/>
        </w:rPr>
        <w:t>, iletişim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v.b.) yönelik bir platform sunmaktadır.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sz w:val="20"/>
          <w:szCs w:val="20"/>
        </w:rPr>
        <w:tab/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, </w:t>
      </w:r>
      <w:r w:rsidRPr="00EB6EE0">
        <w:rPr>
          <w:rStyle w:val="Gl"/>
          <w:rFonts w:eastAsiaTheme="majorEastAsia"/>
          <w:sz w:val="20"/>
          <w:szCs w:val="20"/>
        </w:rPr>
        <w:t>Bilgi ve İletişim Teknolojileri</w:t>
      </w:r>
      <w:r w:rsidRPr="00EB6EE0">
        <w:rPr>
          <w:sz w:val="20"/>
          <w:szCs w:val="20"/>
        </w:rPr>
        <w:t xml:space="preserve"> (BİT) kullanımıyla okullar için destek, araç ve hizmetler sağlayarak Avrupa’daki okullar arası işbirliğini teşvik eder. Ayrıca;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>, eğitimciler için sürekli çevrimiçi Mesleki Gelişim için ücretsiz fırsatlar da sunmaktadır.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sz w:val="20"/>
          <w:szCs w:val="20"/>
        </w:rPr>
        <w:t xml:space="preserve">2005 yılında Avrupa Komisyonunun </w:t>
      </w:r>
      <w:proofErr w:type="spellStart"/>
      <w:r w:rsidRPr="00EB6EE0">
        <w:rPr>
          <w:sz w:val="20"/>
          <w:szCs w:val="20"/>
        </w:rPr>
        <w:t>eöğrenme</w:t>
      </w:r>
      <w:proofErr w:type="spellEnd"/>
      <w:r w:rsidRPr="00EB6EE0">
        <w:rPr>
          <w:sz w:val="20"/>
          <w:szCs w:val="20"/>
        </w:rPr>
        <w:t xml:space="preserve"> Programının ana hareketi olarak başlatılan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, 2014 yılından bu yana AB Eğitim, Öğretim, Gençlik ve Spor program olan </w:t>
      </w:r>
      <w:hyperlink r:id="rId5" w:history="1">
        <w:proofErr w:type="spellStart"/>
        <w:r w:rsidRPr="00EB6EE0">
          <w:rPr>
            <w:rStyle w:val="Kpr"/>
            <w:b/>
            <w:bCs/>
            <w:sz w:val="20"/>
            <w:szCs w:val="20"/>
          </w:rPr>
          <w:t>Erasmus</w:t>
        </w:r>
        <w:proofErr w:type="spellEnd"/>
        <w:r w:rsidRPr="00EB6EE0">
          <w:rPr>
            <w:rStyle w:val="Kpr"/>
            <w:b/>
            <w:bCs/>
            <w:sz w:val="20"/>
            <w:szCs w:val="20"/>
          </w:rPr>
          <w:t>+</w:t>
        </w:r>
      </w:hyperlink>
      <w:r w:rsidRPr="00EB6EE0">
        <w:rPr>
          <w:sz w:val="20"/>
          <w:szCs w:val="20"/>
        </w:rPr>
        <w:t xml:space="preserve">'a, sıkı bir şekilde </w:t>
      </w:r>
      <w:proofErr w:type="gramStart"/>
      <w:r w:rsidRPr="00EB6EE0">
        <w:rPr>
          <w:sz w:val="20"/>
          <w:szCs w:val="20"/>
        </w:rPr>
        <w:t>entegre</w:t>
      </w:r>
      <w:proofErr w:type="gramEnd"/>
      <w:r w:rsidRPr="00EB6EE0">
        <w:rPr>
          <w:sz w:val="20"/>
          <w:szCs w:val="20"/>
        </w:rPr>
        <w:t xml:space="preserve"> edilmiştir.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sz w:val="20"/>
          <w:szCs w:val="20"/>
        </w:rPr>
        <w:tab/>
        <w:t xml:space="preserve">Merkezi Destek Servisi, Avrupa'daki okullar, öğretmenler ve öğrenciler için eğitimi geliştiren 34 Avrupa Eğitim Bakanlığının uluslararası işbirliğinden oluşan </w:t>
      </w:r>
      <w:hyperlink r:id="rId6" w:history="1">
        <w:proofErr w:type="spellStart"/>
        <w:r w:rsidRPr="00EB6EE0">
          <w:rPr>
            <w:rStyle w:val="Kpr"/>
            <w:b/>
            <w:bCs/>
            <w:sz w:val="20"/>
            <w:szCs w:val="20"/>
          </w:rPr>
          <w:t>European</w:t>
        </w:r>
        <w:proofErr w:type="spellEnd"/>
        <w:r w:rsidRPr="00EB6EE0">
          <w:rPr>
            <w:rStyle w:val="Kpr"/>
            <w:b/>
            <w:bCs/>
            <w:sz w:val="20"/>
            <w:szCs w:val="20"/>
          </w:rPr>
          <w:t xml:space="preserve"> </w:t>
        </w:r>
        <w:proofErr w:type="spellStart"/>
        <w:r w:rsidRPr="00EB6EE0">
          <w:rPr>
            <w:rStyle w:val="Kpr"/>
            <w:b/>
            <w:bCs/>
            <w:sz w:val="20"/>
            <w:szCs w:val="20"/>
          </w:rPr>
          <w:t>Schoolnet</w:t>
        </w:r>
        <w:proofErr w:type="spellEnd"/>
      </w:hyperlink>
      <w:r w:rsidRPr="00EB6EE0">
        <w:rPr>
          <w:sz w:val="20"/>
          <w:szCs w:val="20"/>
        </w:rPr>
        <w:t xml:space="preserve"> tarafından yönetilmektedir. Ayrıca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ulusal düzeyde </w:t>
      </w:r>
      <w:r w:rsidRPr="00EB6EE0">
        <w:rPr>
          <w:rStyle w:val="Gl"/>
          <w:rFonts w:eastAsiaTheme="majorEastAsia"/>
          <w:sz w:val="20"/>
          <w:szCs w:val="20"/>
        </w:rPr>
        <w:t xml:space="preserve">38 Ulusal Destek </w:t>
      </w:r>
      <w:proofErr w:type="spellStart"/>
      <w:r w:rsidRPr="00EB6EE0">
        <w:rPr>
          <w:rStyle w:val="Gl"/>
          <w:rFonts w:eastAsiaTheme="majorEastAsia"/>
          <w:sz w:val="20"/>
          <w:szCs w:val="20"/>
        </w:rPr>
        <w:t>Servisitarafından</w:t>
      </w:r>
      <w:proofErr w:type="spellEnd"/>
      <w:r w:rsidRPr="00EB6EE0">
        <w:rPr>
          <w:sz w:val="20"/>
          <w:szCs w:val="20"/>
        </w:rPr>
        <w:t xml:space="preserve"> desteklenmektedir.</w:t>
      </w:r>
    </w:p>
    <w:p w:rsidR="00EB6EE0" w:rsidRPr="00EB6EE0" w:rsidRDefault="00EB6EE0" w:rsidP="00EB6EE0">
      <w:pPr>
        <w:pStyle w:val="Balk2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eTwinning</w:t>
      </w:r>
      <w:proofErr w:type="spellEnd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Portalı</w:t>
      </w:r>
      <w:proofErr w:type="spellEnd"/>
    </w:p>
    <w:p w:rsidR="00EB6EE0" w:rsidRPr="00EB6EE0" w:rsidRDefault="00EB6EE0" w:rsidP="00EB6EE0">
      <w:pPr>
        <w:pStyle w:val="NormalWeb"/>
        <w:rPr>
          <w:sz w:val="20"/>
          <w:szCs w:val="20"/>
        </w:rPr>
      </w:pP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</w:t>
      </w:r>
      <w:proofErr w:type="spellStart"/>
      <w:r w:rsidRPr="00EB6EE0">
        <w:rPr>
          <w:sz w:val="20"/>
          <w:szCs w:val="20"/>
        </w:rPr>
        <w:t>portalı</w:t>
      </w:r>
      <w:proofErr w:type="spellEnd"/>
      <w:r w:rsidRPr="00EB6EE0">
        <w:rPr>
          <w:sz w:val="20"/>
          <w:szCs w:val="20"/>
        </w:rPr>
        <w:t xml:space="preserve">, </w:t>
      </w:r>
      <w:hyperlink r:id="rId7" w:history="1">
        <w:proofErr w:type="spellStart"/>
        <w:r w:rsidRPr="00EB6EE0">
          <w:rPr>
            <w:rStyle w:val="Gl"/>
            <w:rFonts w:eastAsiaTheme="majorEastAsia"/>
            <w:color w:val="0000FF"/>
            <w:sz w:val="20"/>
            <w:szCs w:val="20"/>
            <w:u w:val="single"/>
          </w:rPr>
          <w:t>eTwinning</w:t>
        </w:r>
        <w:proofErr w:type="spellEnd"/>
        <w:r w:rsidRPr="00EB6EE0">
          <w:rPr>
            <w:rStyle w:val="Gl"/>
            <w:rFonts w:eastAsiaTheme="majorEastAsia"/>
            <w:color w:val="0000FF"/>
            <w:sz w:val="20"/>
            <w:szCs w:val="20"/>
            <w:u w:val="single"/>
          </w:rPr>
          <w:t xml:space="preserve"> dünyasına</w:t>
        </w:r>
      </w:hyperlink>
      <w:r w:rsidRPr="00EB6EE0">
        <w:rPr>
          <w:sz w:val="20"/>
          <w:szCs w:val="20"/>
        </w:rPr>
        <w:t xml:space="preserve"> giriş noktasıdır. 28 dilde kullanıma sunulmuş olan </w:t>
      </w:r>
      <w:proofErr w:type="spellStart"/>
      <w:proofErr w:type="gram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>.</w:t>
      </w:r>
      <w:proofErr w:type="spellStart"/>
      <w:r w:rsidRPr="00EB6EE0">
        <w:rPr>
          <w:sz w:val="20"/>
          <w:szCs w:val="20"/>
        </w:rPr>
        <w:t>net’de</w:t>
      </w:r>
      <w:proofErr w:type="spellEnd"/>
      <w:proofErr w:type="gramEnd"/>
      <w:r w:rsidRPr="00EB6EE0">
        <w:rPr>
          <w:sz w:val="20"/>
          <w:szCs w:val="20"/>
        </w:rPr>
        <w:t xml:space="preserve">;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ülkelerinden haberler, mesleki gelişim fırsatları, tanımayla ilgili bilgiler ve ayrıca başarılı projelerden örnekler sunulmaktadır.</w:t>
      </w:r>
    </w:p>
    <w:p w:rsidR="00EB6EE0" w:rsidRPr="00EB6EE0" w:rsidRDefault="00EB6EE0" w:rsidP="00EB6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B6EE0">
        <w:rPr>
          <w:rStyle w:val="Gl"/>
          <w:rFonts w:ascii="Times New Roman" w:hAnsi="Times New Roman" w:cs="Times New Roman"/>
          <w:sz w:val="20"/>
          <w:szCs w:val="20"/>
        </w:rPr>
        <w:t>Projeler</w:t>
      </w:r>
      <w:r w:rsidRPr="00EB6EE0">
        <w:rPr>
          <w:rFonts w:ascii="Times New Roman" w:hAnsi="Times New Roman" w:cs="Times New Roman"/>
          <w:sz w:val="20"/>
          <w:szCs w:val="20"/>
        </w:rPr>
        <w:t xml:space="preserve"> – Bu bölümde, öğretmenler kendi projelerini oluşturmaları için yardımcı olan ve destek veren “Kitler” adlı araçları bulabilirler. Ayrıca,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projelerini tasarlayıp yürütürken onlara ilham vermesi için en iyi uygulama örneklerinden oluşan bir galeri de bu bölümde yer almaktadır.</w:t>
      </w:r>
    </w:p>
    <w:p w:rsidR="00EB6EE0" w:rsidRPr="00EB6EE0" w:rsidRDefault="00EB6EE0" w:rsidP="00EB6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B6EE0">
        <w:rPr>
          <w:rStyle w:val="Gl"/>
          <w:rFonts w:ascii="Times New Roman" w:hAnsi="Times New Roman" w:cs="Times New Roman"/>
          <w:sz w:val="20"/>
          <w:szCs w:val="20"/>
        </w:rPr>
        <w:t>Tanıma</w:t>
      </w:r>
      <w:r w:rsidRPr="00EB6EE0">
        <w:rPr>
          <w:rFonts w:ascii="Times New Roman" w:hAnsi="Times New Roman" w:cs="Times New Roman"/>
          <w:sz w:val="20"/>
          <w:szCs w:val="20"/>
        </w:rPr>
        <w:t xml:space="preserve"> – Bu bölümde, öğretmenler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eTwinning’in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sunduğu tanıma fırsatları olan Avrupa Kalite Etiketleri, Ulusal Kalite Etiketleri,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Ödülleri ve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Okulları hakkında bilmeleri gereken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herşeyi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bulabilirler.</w:t>
      </w:r>
    </w:p>
    <w:p w:rsidR="00EB6EE0" w:rsidRPr="00EB6EE0" w:rsidRDefault="00EB6EE0" w:rsidP="00EB6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B6EE0">
        <w:rPr>
          <w:rStyle w:val="Gl"/>
          <w:rFonts w:ascii="Times New Roman" w:hAnsi="Times New Roman" w:cs="Times New Roman"/>
          <w:sz w:val="20"/>
          <w:szCs w:val="20"/>
        </w:rPr>
        <w:t>Mesleki Gelişim</w:t>
      </w:r>
      <w:r w:rsidRPr="00EB6EE0">
        <w:rPr>
          <w:rFonts w:ascii="Times New Roman" w:hAnsi="Times New Roman" w:cs="Times New Roman"/>
          <w:sz w:val="20"/>
          <w:szCs w:val="20"/>
        </w:rPr>
        <w:t xml:space="preserve"> – Bu Bölümde, öğretmenler; öz değerleme araçlarından (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MeTP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) kendi kendine yardım materyallerine (Kendi Kendine Öğretim Materyalleri), çevrimiçi seminerlerden öğrenme etkinliklerine ve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özel etkinlikleri aracılığıyla akran öğrenimine kadar, eğitim yöntemlerini geliştirmeye yardımcı olacak çok sayıda araç bulabilirler.</w:t>
      </w:r>
    </w:p>
    <w:p w:rsidR="00EB6EE0" w:rsidRPr="00EB6EE0" w:rsidRDefault="00EB6EE0" w:rsidP="00EB6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B6EE0">
        <w:rPr>
          <w:rStyle w:val="Gl"/>
          <w:rFonts w:ascii="Times New Roman" w:hAnsi="Times New Roman" w:cs="Times New Roman"/>
          <w:sz w:val="20"/>
          <w:szCs w:val="20"/>
        </w:rPr>
        <w:t>Önemli Noktalar</w:t>
      </w:r>
      <w:r w:rsidRPr="00EB6EE0">
        <w:rPr>
          <w:rFonts w:ascii="Times New Roman" w:hAnsi="Times New Roman" w:cs="Times New Roman"/>
          <w:sz w:val="20"/>
          <w:szCs w:val="20"/>
        </w:rPr>
        <w:t xml:space="preserve"> - Pedagojik yöntemler ve en iyi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uygulamaları </w:t>
      </w:r>
      <w:proofErr w:type="gramStart"/>
      <w:r w:rsidRPr="00EB6EE0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EB6EE0">
        <w:rPr>
          <w:rFonts w:ascii="Times New Roman" w:hAnsi="Times New Roman" w:cs="Times New Roman"/>
          <w:sz w:val="20"/>
          <w:szCs w:val="20"/>
        </w:rPr>
        <w:t xml:space="preserve"> olmak üzere, </w:t>
      </w:r>
      <w:proofErr w:type="spellStart"/>
      <w:r w:rsidRPr="00EB6EE0">
        <w:rPr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Fonts w:ascii="Times New Roman" w:hAnsi="Times New Roman" w:cs="Times New Roman"/>
          <w:sz w:val="20"/>
          <w:szCs w:val="20"/>
        </w:rPr>
        <w:t xml:space="preserve"> topluluğundan gelen haberler.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rStyle w:val="Gl"/>
          <w:rFonts w:eastAsiaTheme="majorEastAsia"/>
          <w:sz w:val="20"/>
          <w:szCs w:val="20"/>
        </w:rPr>
        <w:t xml:space="preserve">Öğretmenler, </w:t>
      </w:r>
      <w:proofErr w:type="spellStart"/>
      <w:r w:rsidRPr="00EB6EE0">
        <w:rPr>
          <w:rStyle w:val="Gl"/>
          <w:rFonts w:eastAsiaTheme="majorEastAsia"/>
          <w:sz w:val="20"/>
          <w:szCs w:val="20"/>
        </w:rPr>
        <w:t>eTwinning’e</w:t>
      </w:r>
      <w:proofErr w:type="spellEnd"/>
      <w:r w:rsidRPr="00EB6EE0">
        <w:rPr>
          <w:rStyle w:val="Gl"/>
          <w:rFonts w:eastAsiaTheme="majorEastAsia"/>
          <w:sz w:val="20"/>
          <w:szCs w:val="20"/>
        </w:rPr>
        <w:t xml:space="preserve"> katılarak şunlara erişim sağlayabilirler:</w:t>
      </w:r>
    </w:p>
    <w:p w:rsidR="00EB6EE0" w:rsidRPr="00EB6EE0" w:rsidRDefault="00EB6EE0" w:rsidP="00EB6EE0">
      <w:pPr>
        <w:pStyle w:val="Balk2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eTwinning</w:t>
      </w:r>
      <w:proofErr w:type="spellEnd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 </w:t>
      </w:r>
      <w:proofErr w:type="spellStart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Live</w:t>
      </w:r>
      <w:proofErr w:type="spellEnd"/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sz w:val="20"/>
          <w:szCs w:val="20"/>
        </w:rPr>
        <w:t xml:space="preserve">Öğretmenlerin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topluluğunu tüm potansiyeliyle </w:t>
      </w:r>
      <w:proofErr w:type="spellStart"/>
      <w:r w:rsidRPr="00EB6EE0">
        <w:rPr>
          <w:sz w:val="20"/>
          <w:szCs w:val="20"/>
        </w:rPr>
        <w:t>deneyimledikleri</w:t>
      </w:r>
      <w:proofErr w:type="spellEnd"/>
      <w:r w:rsidRPr="00EB6EE0">
        <w:rPr>
          <w:sz w:val="20"/>
          <w:szCs w:val="20"/>
        </w:rPr>
        <w:t xml:space="preserve"> yerdir. Öğretmenler, diğer kayıtlı </w:t>
      </w:r>
      <w:proofErr w:type="spellStart"/>
      <w:r w:rsidRPr="00EB6EE0">
        <w:rPr>
          <w:sz w:val="20"/>
          <w:szCs w:val="20"/>
        </w:rPr>
        <w:t>eTwinner’lar</w:t>
      </w:r>
      <w:proofErr w:type="spellEnd"/>
      <w:r w:rsidRPr="00EB6EE0">
        <w:rPr>
          <w:sz w:val="20"/>
          <w:szCs w:val="20"/>
        </w:rPr>
        <w:t xml:space="preserve"> ve okullar hakkında arama yapabilir, onlarla bağlantı kurabilir ve aktivitelerini takip edebilirler. Öğretmenler, </w:t>
      </w:r>
      <w:proofErr w:type="spellStart"/>
      <w:r w:rsidRPr="00EB6EE0">
        <w:rPr>
          <w:sz w:val="20"/>
          <w:szCs w:val="20"/>
        </w:rPr>
        <w:t>eTwinner’lar</w:t>
      </w:r>
      <w:proofErr w:type="spellEnd"/>
      <w:r w:rsidRPr="00EB6EE0">
        <w:rPr>
          <w:sz w:val="20"/>
          <w:szCs w:val="20"/>
        </w:rPr>
        <w:t xml:space="preserve"> tarafından oluşturulan tüm çevrimiçi ve yerinde etkinliklere erişim sağlayabilir ve kendi etkinliklerini oluşturabilirler.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> </w:t>
      </w:r>
      <w:proofErr w:type="spellStart"/>
      <w:r w:rsidRPr="00EB6EE0">
        <w:rPr>
          <w:sz w:val="20"/>
          <w:szCs w:val="20"/>
        </w:rPr>
        <w:t>Live</w:t>
      </w:r>
      <w:proofErr w:type="spellEnd"/>
      <w:r w:rsidRPr="00EB6EE0">
        <w:rPr>
          <w:sz w:val="20"/>
          <w:szCs w:val="20"/>
        </w:rPr>
        <w:t xml:space="preserve"> aracılığıyla, öğretmenler farklı konularda ve farklı anahtar yetkinliklerde iki veya daha fazla öğretmen ve öğrencileriyle birlikte işbirliği yaparak aktiviteler gerçekleştirebilecekleri kendi projelerini oluşturabilirler.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sz w:val="20"/>
          <w:szCs w:val="20"/>
        </w:rPr>
        <w:t xml:space="preserve">Öğretmenler, </w:t>
      </w:r>
      <w:proofErr w:type="spellStart"/>
      <w:r w:rsidRPr="00EB6EE0">
        <w:rPr>
          <w:sz w:val="20"/>
          <w:szCs w:val="20"/>
        </w:rPr>
        <w:t>eTwinning’in</w:t>
      </w:r>
      <w:proofErr w:type="spellEnd"/>
      <w:r w:rsidRPr="00EB6EE0">
        <w:rPr>
          <w:sz w:val="20"/>
          <w:szCs w:val="20"/>
        </w:rPr>
        <w:t xml:space="preserve"> Avrupa düzeyinde sunduğu çevrimiçi mesleki gelişim fırsatlarını bulabilirler. Öğrenme Etkinlikleri; öğretmenlere bir konuyu tanıtan, fikirleri uyaran ve becerilerini geliştirmelerine yardımcı olan kısa, yoğun ve eğlenceli kurslardır. Öğrenme etkinlikleri, genellikle 4-6 saat sürer. Çevrimiçi Seminerler, </w:t>
      </w:r>
      <w:r w:rsidRPr="00EB6EE0">
        <w:rPr>
          <w:sz w:val="20"/>
          <w:szCs w:val="20"/>
        </w:rPr>
        <w:lastRenderedPageBreak/>
        <w:t>öğretmenlerin çeşitli konular hakkında bilgi edinme, konuşma ve tartışma şansını yakaladıkları bir saatlik canlı çevrimiçi video oturumlarıdır.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r w:rsidRPr="00EB6EE0">
        <w:rPr>
          <w:sz w:val="20"/>
          <w:szCs w:val="20"/>
        </w:rPr>
        <w:t xml:space="preserve">Öğretmenler, </w:t>
      </w:r>
      <w:proofErr w:type="spellStart"/>
      <w:r w:rsidRPr="00EB6EE0">
        <w:rPr>
          <w:rStyle w:val="Gl"/>
          <w:rFonts w:eastAsiaTheme="majorEastAsia"/>
          <w:sz w:val="20"/>
          <w:szCs w:val="20"/>
        </w:rPr>
        <w:t>eTwinning</w:t>
      </w:r>
      <w:proofErr w:type="spellEnd"/>
      <w:r w:rsidRPr="00EB6EE0">
        <w:rPr>
          <w:rStyle w:val="Gl"/>
          <w:rFonts w:eastAsiaTheme="majorEastAsia"/>
          <w:sz w:val="20"/>
          <w:szCs w:val="20"/>
        </w:rPr>
        <w:t xml:space="preserve"> Gruplarına</w:t>
      </w:r>
      <w:r w:rsidRPr="00EB6EE0">
        <w:rPr>
          <w:sz w:val="20"/>
          <w:szCs w:val="20"/>
        </w:rPr>
        <w:t xml:space="preserve"> da katılabilirler. Bu Gruplar, </w:t>
      </w:r>
      <w:proofErr w:type="spellStart"/>
      <w:r w:rsidRPr="00EB6EE0">
        <w:rPr>
          <w:sz w:val="20"/>
          <w:szCs w:val="20"/>
        </w:rPr>
        <w:t>eTwinner’ların</w:t>
      </w:r>
      <w:proofErr w:type="spellEnd"/>
      <w:r w:rsidRPr="00EB6EE0">
        <w:rPr>
          <w:sz w:val="20"/>
          <w:szCs w:val="20"/>
        </w:rPr>
        <w:t xml:space="preserve"> buluşup belirli dersler, konular ve diğer ilgi alanları hakkında tartıştıkları sanal yerlerdir. MDS tarafından koordine edilen ve deneyimli </w:t>
      </w:r>
      <w:proofErr w:type="spellStart"/>
      <w:r w:rsidRPr="00EB6EE0">
        <w:rPr>
          <w:sz w:val="20"/>
          <w:szCs w:val="20"/>
        </w:rPr>
        <w:t>eTwinner’lar</w:t>
      </w:r>
      <w:proofErr w:type="spellEnd"/>
      <w:r w:rsidRPr="00EB6EE0">
        <w:rPr>
          <w:sz w:val="20"/>
          <w:szCs w:val="20"/>
        </w:rPr>
        <w:t xml:space="preserve"> tarafından yönetilen </w:t>
      </w:r>
      <w:r w:rsidRPr="00EB6EE0">
        <w:rPr>
          <w:rStyle w:val="Gl"/>
          <w:rFonts w:eastAsiaTheme="majorEastAsia"/>
          <w:sz w:val="20"/>
          <w:szCs w:val="20"/>
        </w:rPr>
        <w:t>14 Özel Grup</w:t>
      </w:r>
      <w:r w:rsidRPr="00EB6EE0">
        <w:rPr>
          <w:sz w:val="20"/>
          <w:szCs w:val="20"/>
        </w:rPr>
        <w:t xml:space="preserve"> </w:t>
      </w:r>
      <w:proofErr w:type="gramStart"/>
      <w:r w:rsidRPr="00EB6EE0">
        <w:rPr>
          <w:sz w:val="20"/>
          <w:szCs w:val="20"/>
        </w:rPr>
        <w:t>bulunmaktadır.Bunlar</w:t>
      </w:r>
      <w:proofErr w:type="gramEnd"/>
      <w:r w:rsidRPr="00EB6EE0">
        <w:rPr>
          <w:sz w:val="20"/>
          <w:szCs w:val="20"/>
        </w:rPr>
        <w:t>, aşağıda belirtilmiştir.</w:t>
      </w:r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Coding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schools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English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Second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Language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Entrepreneurship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education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Bringing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eSafety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into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projects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French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Second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Language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EB6EE0">
        <w:rPr>
          <w:rStyle w:val="Gl"/>
          <w:rFonts w:ascii="Times New Roman" w:hAnsi="Times New Roman" w:cs="Times New Roman"/>
          <w:sz w:val="20"/>
          <w:szCs w:val="20"/>
        </w:rPr>
        <w:t>STEM</w:t>
      </w:r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Sustainable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Schools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Network</w:t>
      </w:r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Game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>-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based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classroom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Inclusive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Education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Creative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Classroom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Virgilio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Your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eTwinning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Guide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Gender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Know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How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to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Stop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Stereotypes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Integrating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Migrant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Students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School</w:t>
      </w:r>
      <w:proofErr w:type="spellEnd"/>
    </w:p>
    <w:p w:rsidR="00EB6EE0" w:rsidRPr="00EB6EE0" w:rsidRDefault="00EB6EE0" w:rsidP="00EB6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School</w:t>
      </w:r>
      <w:proofErr w:type="spellEnd"/>
      <w:r w:rsidRPr="00EB6EE0">
        <w:rPr>
          <w:rStyle w:val="Gl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EE0">
        <w:rPr>
          <w:rStyle w:val="Gl"/>
          <w:rFonts w:ascii="Times New Roman" w:hAnsi="Times New Roman" w:cs="Times New Roman"/>
          <w:sz w:val="20"/>
          <w:szCs w:val="20"/>
        </w:rPr>
        <w:t>Leadership</w:t>
      </w:r>
      <w:proofErr w:type="spellEnd"/>
    </w:p>
    <w:p w:rsidR="00EB6EE0" w:rsidRPr="00EB6EE0" w:rsidRDefault="00EB6EE0" w:rsidP="00EB6EE0">
      <w:pPr>
        <w:pStyle w:val="Balk2"/>
        <w:rPr>
          <w:rFonts w:ascii="Times New Roman" w:hAnsi="Times New Roman" w:cs="Times New Roman"/>
          <w:sz w:val="20"/>
          <w:szCs w:val="20"/>
        </w:rPr>
      </w:pPr>
      <w:proofErr w:type="spellStart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eTwinning</w:t>
      </w:r>
      <w:proofErr w:type="spellEnd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 </w:t>
      </w:r>
      <w:proofErr w:type="spellStart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>Live</w:t>
      </w:r>
      <w:proofErr w:type="spellEnd"/>
      <w:r w:rsidRPr="00EB6EE0">
        <w:rPr>
          <w:rStyle w:val="Gl"/>
          <w:rFonts w:ascii="Times New Roman" w:hAnsi="Times New Roman" w:cs="Times New Roman"/>
          <w:b/>
          <w:bCs/>
          <w:sz w:val="20"/>
          <w:szCs w:val="20"/>
        </w:rPr>
        <w:t xml:space="preserve"> uygulaması</w:t>
      </w:r>
    </w:p>
    <w:p w:rsidR="00EB6EE0" w:rsidRPr="00EB6EE0" w:rsidRDefault="00EB6EE0" w:rsidP="00EB6EE0">
      <w:pPr>
        <w:pStyle w:val="NormalWeb"/>
        <w:rPr>
          <w:sz w:val="20"/>
          <w:szCs w:val="20"/>
        </w:rPr>
      </w:pP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mobil uygulaması, kullanıcılara mobil cihazları üzerinden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</w:t>
      </w:r>
      <w:proofErr w:type="spellStart"/>
      <w:r w:rsidRPr="00EB6EE0">
        <w:rPr>
          <w:sz w:val="20"/>
          <w:szCs w:val="20"/>
        </w:rPr>
        <w:t>Live</w:t>
      </w:r>
      <w:proofErr w:type="spellEnd"/>
      <w:r w:rsidRPr="00EB6EE0">
        <w:rPr>
          <w:sz w:val="20"/>
          <w:szCs w:val="20"/>
        </w:rPr>
        <w:t xml:space="preserve"> servislerine ve bildirimlere erişim fırsatı sunar. </w:t>
      </w:r>
      <w:proofErr w:type="spellStart"/>
      <w:r w:rsidRPr="00EB6EE0">
        <w:rPr>
          <w:sz w:val="20"/>
          <w:szCs w:val="20"/>
        </w:rPr>
        <w:t>eTwinner’lar</w:t>
      </w:r>
      <w:proofErr w:type="spellEnd"/>
      <w:r w:rsidRPr="00EB6EE0">
        <w:rPr>
          <w:sz w:val="20"/>
          <w:szCs w:val="20"/>
        </w:rPr>
        <w:t>; pop-</w:t>
      </w:r>
      <w:proofErr w:type="spellStart"/>
      <w:r w:rsidRPr="00EB6EE0">
        <w:rPr>
          <w:sz w:val="20"/>
          <w:szCs w:val="20"/>
        </w:rPr>
        <w:t>up</w:t>
      </w:r>
      <w:proofErr w:type="spellEnd"/>
      <w:r w:rsidRPr="00EB6EE0">
        <w:rPr>
          <w:sz w:val="20"/>
          <w:szCs w:val="20"/>
        </w:rPr>
        <w:t xml:space="preserve"> (açılır) </w:t>
      </w:r>
      <w:proofErr w:type="spellStart"/>
      <w:r w:rsidRPr="00EB6EE0">
        <w:rPr>
          <w:sz w:val="20"/>
          <w:szCs w:val="20"/>
        </w:rPr>
        <w:t>bilidirmler</w:t>
      </w:r>
      <w:proofErr w:type="spellEnd"/>
      <w:r w:rsidRPr="00EB6EE0">
        <w:rPr>
          <w:sz w:val="20"/>
          <w:szCs w:val="20"/>
        </w:rPr>
        <w:t xml:space="preserve"> sayesinde, </w:t>
      </w:r>
      <w:proofErr w:type="spellStart"/>
      <w:r w:rsidRPr="00EB6EE0">
        <w:rPr>
          <w:sz w:val="20"/>
          <w:szCs w:val="20"/>
        </w:rPr>
        <w:t>eTwinning</w:t>
      </w:r>
      <w:proofErr w:type="spellEnd"/>
      <w:r w:rsidRPr="00EB6EE0">
        <w:rPr>
          <w:sz w:val="20"/>
          <w:szCs w:val="20"/>
        </w:rPr>
        <w:t xml:space="preserve"> </w:t>
      </w:r>
      <w:proofErr w:type="spellStart"/>
      <w:r w:rsidRPr="00EB6EE0">
        <w:rPr>
          <w:sz w:val="20"/>
          <w:szCs w:val="20"/>
        </w:rPr>
        <w:t>Live</w:t>
      </w:r>
      <w:proofErr w:type="spellEnd"/>
      <w:r w:rsidRPr="00EB6EE0">
        <w:rPr>
          <w:sz w:val="20"/>
          <w:szCs w:val="20"/>
        </w:rPr>
        <w:t xml:space="preserve"> platformunda olan bitenler hakkında güncel kalırlar ve bir iletişim isteğini kabul etme gibi temel işlemleri gerçekleştirebilirler. </w:t>
      </w:r>
    </w:p>
    <w:p w:rsidR="00EB6EE0" w:rsidRDefault="00EB6EE0" w:rsidP="00EB6EE0">
      <w:pPr>
        <w:pStyle w:val="NormalWeb"/>
      </w:pPr>
    </w:p>
    <w:p w:rsidR="00EB6EE0" w:rsidRPr="00EB6EE0" w:rsidRDefault="00EB6EE0" w:rsidP="00EB6EE0"/>
    <w:p w:rsidR="00EB6EE0" w:rsidRPr="00EB6EE0" w:rsidRDefault="00EB6EE0" w:rsidP="00EB6E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</w:p>
    <w:p w:rsidR="00EB6EE0" w:rsidRDefault="00EB6EE0"/>
    <w:sectPr w:rsidR="00EB6EE0" w:rsidSect="00B8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2EA"/>
    <w:multiLevelType w:val="multilevel"/>
    <w:tmpl w:val="D7A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F3159"/>
    <w:multiLevelType w:val="multilevel"/>
    <w:tmpl w:val="E6A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6EE0"/>
    <w:rsid w:val="00B811DA"/>
    <w:rsid w:val="00E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DA"/>
  </w:style>
  <w:style w:type="paragraph" w:styleId="Balk1">
    <w:name w:val="heading 1"/>
    <w:basedOn w:val="Normal"/>
    <w:link w:val="Balk1Char"/>
    <w:uiPriority w:val="9"/>
    <w:qFormat/>
    <w:rsid w:val="00EB6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6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6EE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6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6EE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B6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winning.net/tr/pub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n.org/" TargetMode="External"/><Relationship Id="rId5" Type="http://schemas.openxmlformats.org/officeDocument/2006/relationships/hyperlink" Target="http://ec.europa.eu/programmes/erasmus-plus/node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2018-12-18T09:11:00Z</dcterms:created>
  <dcterms:modified xsi:type="dcterms:W3CDTF">2018-12-18T09:14:00Z</dcterms:modified>
</cp:coreProperties>
</file>